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12A" w:rsidRPr="00CB1616" w:rsidRDefault="0086512A" w:rsidP="00CB1616">
      <w:pPr>
        <w:spacing w:after="0"/>
        <w:jc w:val="center"/>
        <w:rPr>
          <w:b/>
          <w:sz w:val="20"/>
          <w:szCs w:val="20"/>
        </w:rPr>
      </w:pPr>
      <w:r w:rsidRPr="00CB1616">
        <w:rPr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-410210</wp:posOffset>
            </wp:positionV>
            <wp:extent cx="1085850" cy="390525"/>
            <wp:effectExtent l="19050" t="0" r="0" b="0"/>
            <wp:wrapSquare wrapText="bothSides"/>
            <wp:docPr id="16" name="Immagine 2" descr="C:\Documents and Settings\francesco\Desktop\LOGHI FeLSA CULTURA\cisl_marc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Documents and Settings\francesco\Desktop\LOGHI FeLSA CULTURA\cisl_march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B1616">
        <w:rPr>
          <w:b/>
          <w:sz w:val="20"/>
          <w:szCs w:val="20"/>
        </w:rPr>
        <w:t>AREA SINDACALE TERRITORIALE DI MACERATA</w:t>
      </w:r>
    </w:p>
    <w:p w:rsidR="0086512A" w:rsidRDefault="0086512A" w:rsidP="0086512A">
      <w:pPr>
        <w:jc w:val="center"/>
      </w:pPr>
    </w:p>
    <w:p w:rsidR="00D74305" w:rsidRDefault="00D74305" w:rsidP="0086512A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COMUNICATO STAMPA</w:t>
      </w:r>
    </w:p>
    <w:p w:rsidR="0086512A" w:rsidRDefault="0086512A" w:rsidP="0086512A">
      <w:pPr>
        <w:spacing w:after="0"/>
        <w:jc w:val="center"/>
        <w:rPr>
          <w:sz w:val="26"/>
          <w:szCs w:val="26"/>
        </w:rPr>
      </w:pPr>
      <w:r w:rsidRPr="0086512A">
        <w:rPr>
          <w:sz w:val="26"/>
          <w:szCs w:val="26"/>
        </w:rPr>
        <w:t xml:space="preserve">LA DISOCCUPAZIONE NEL MACERATESE TORNA A CRESCERE. </w:t>
      </w:r>
    </w:p>
    <w:p w:rsidR="0086512A" w:rsidRPr="0086512A" w:rsidRDefault="0086512A" w:rsidP="0086512A">
      <w:pPr>
        <w:spacing w:after="0"/>
        <w:jc w:val="center"/>
        <w:rPr>
          <w:sz w:val="26"/>
          <w:szCs w:val="26"/>
        </w:rPr>
      </w:pPr>
      <w:r w:rsidRPr="0086512A">
        <w:rPr>
          <w:sz w:val="26"/>
          <w:szCs w:val="26"/>
        </w:rPr>
        <w:t xml:space="preserve">L’ALLARME E LE PROPOSTE DELLA CISL </w:t>
      </w:r>
    </w:p>
    <w:p w:rsidR="0086512A" w:rsidRDefault="0086512A" w:rsidP="0086512A">
      <w:pPr>
        <w:spacing w:after="0"/>
        <w:jc w:val="both"/>
      </w:pPr>
    </w:p>
    <w:p w:rsidR="0087527E" w:rsidRDefault="0087527E" w:rsidP="0086512A">
      <w:pPr>
        <w:spacing w:after="0"/>
        <w:jc w:val="both"/>
      </w:pPr>
      <w:r>
        <w:t>Gli occupati nella provincia di Macerata scendono nel 2016 di</w:t>
      </w:r>
      <w:r w:rsidR="00A56FF0">
        <w:t xml:space="preserve"> oltre</w:t>
      </w:r>
      <w:r w:rsidR="00CB1616">
        <w:t xml:space="preserve"> due mila unità.</w:t>
      </w:r>
      <w:r>
        <w:t xml:space="preserve"> Un calo che si scarica interamente nel lavoro dipendente, che passa </w:t>
      </w:r>
      <w:r w:rsidR="00CB1616">
        <w:t xml:space="preserve">nell’ultimo anno </w:t>
      </w:r>
      <w:r>
        <w:t xml:space="preserve">da 92.400 a 88.900 </w:t>
      </w:r>
      <w:r w:rsidR="00CB1616">
        <w:t>occupati</w:t>
      </w:r>
      <w:r>
        <w:t>, segnando la perdita di 3.500 posti di lavoro.  Continua invece a crescere</w:t>
      </w:r>
      <w:r w:rsidR="00A56FF0">
        <w:t xml:space="preserve"> nel nostro territorio</w:t>
      </w:r>
      <w:r w:rsidR="00E5376B">
        <w:t>, anche se di poco,</w:t>
      </w:r>
      <w:r>
        <w:t xml:space="preserve"> il lavoro autonomo</w:t>
      </w:r>
      <w:r w:rsidR="00E5376B">
        <w:t>.</w:t>
      </w:r>
      <w:r w:rsidR="00A56FF0">
        <w:t xml:space="preserve"> </w:t>
      </w:r>
      <w:r>
        <w:t>Il tasso di disoccupazione torna a crescere</w:t>
      </w:r>
      <w:r w:rsidR="00A56FF0">
        <w:t xml:space="preserve">, assestandosi al 9.3%, inferiore alla media regionale del 10.6%, ma di certo ben lontano dal </w:t>
      </w:r>
      <w:r w:rsidR="00CB1515">
        <w:t>4.3% del 2008.</w:t>
      </w:r>
    </w:p>
    <w:p w:rsidR="00CB1616" w:rsidRDefault="00CB1616" w:rsidP="0086512A">
      <w:pPr>
        <w:spacing w:after="0"/>
        <w:jc w:val="both"/>
      </w:pPr>
    </w:p>
    <w:p w:rsidR="0086512A" w:rsidRPr="00CC5341" w:rsidRDefault="006430A9" w:rsidP="0086512A">
      <w:pPr>
        <w:jc w:val="both"/>
        <w:rPr>
          <w:b/>
        </w:rPr>
      </w:pPr>
      <w:r w:rsidRPr="00CC5341">
        <w:rPr>
          <w:b/>
        </w:rPr>
        <w:t>Sono i da</w:t>
      </w:r>
      <w:r w:rsidR="00427F29" w:rsidRPr="00CC5341">
        <w:rPr>
          <w:b/>
        </w:rPr>
        <w:t xml:space="preserve">ti peggiori dal 2013, </w:t>
      </w:r>
      <w:r w:rsidR="00CC5341" w:rsidRPr="00CC5341">
        <w:rPr>
          <w:b/>
        </w:rPr>
        <w:t>l’anno nero della crisi.</w:t>
      </w:r>
      <w:r w:rsidR="00FE2F4F" w:rsidRPr="00CC5341">
        <w:rPr>
          <w:b/>
        </w:rPr>
        <w:t xml:space="preserve"> </w:t>
      </w:r>
      <w:r w:rsidR="0087527E" w:rsidRPr="00CC5341">
        <w:rPr>
          <w:b/>
        </w:rPr>
        <w:t>Dopo che i</w:t>
      </w:r>
      <w:r w:rsidRPr="00CC5341">
        <w:rPr>
          <w:b/>
        </w:rPr>
        <w:t xml:space="preserve">l 2014 e il 2015 hanno segnato una tregua, </w:t>
      </w:r>
      <w:r w:rsidR="0087527E" w:rsidRPr="00CC5341">
        <w:rPr>
          <w:b/>
        </w:rPr>
        <w:t xml:space="preserve">consentendo un </w:t>
      </w:r>
      <w:r w:rsidR="00EE489B" w:rsidRPr="00CC5341">
        <w:rPr>
          <w:b/>
        </w:rPr>
        <w:t>arrest</w:t>
      </w:r>
      <w:r w:rsidR="00FE2F4F" w:rsidRPr="00CC5341">
        <w:rPr>
          <w:b/>
        </w:rPr>
        <w:t>o della caduta verticale dell’occupazione</w:t>
      </w:r>
      <w:r w:rsidR="0087527E" w:rsidRPr="00CC5341">
        <w:rPr>
          <w:b/>
        </w:rPr>
        <w:t xml:space="preserve">, </w:t>
      </w:r>
      <w:r w:rsidRPr="00CC5341">
        <w:rPr>
          <w:b/>
        </w:rPr>
        <w:t xml:space="preserve">nel 2016 </w:t>
      </w:r>
      <w:r w:rsidR="00427F29" w:rsidRPr="00CC5341">
        <w:rPr>
          <w:b/>
        </w:rPr>
        <w:t>torniamo a registrare un gen</w:t>
      </w:r>
      <w:r w:rsidR="002A39C0" w:rsidRPr="00CC5341">
        <w:rPr>
          <w:b/>
        </w:rPr>
        <w:t>erale e sensibile peggioramento</w:t>
      </w:r>
      <w:r w:rsidR="0087527E" w:rsidRPr="00CC5341">
        <w:rPr>
          <w:b/>
        </w:rPr>
        <w:t>,</w:t>
      </w:r>
      <w:r w:rsidR="002A39C0" w:rsidRPr="00CC5341">
        <w:rPr>
          <w:b/>
        </w:rPr>
        <w:t xml:space="preserve"> che assesta il nostro territorio in una condizione profondamente lontana e radicalmente diver</w:t>
      </w:r>
      <w:r w:rsidR="0087527E" w:rsidRPr="00CC5341">
        <w:rPr>
          <w:b/>
        </w:rPr>
        <w:t>sa rispetto alla condizione pre</w:t>
      </w:r>
      <w:r w:rsidR="00CC5341" w:rsidRPr="00CC5341">
        <w:rPr>
          <w:b/>
        </w:rPr>
        <w:t>-</w:t>
      </w:r>
      <w:r w:rsidR="002A39C0" w:rsidRPr="00CC5341">
        <w:rPr>
          <w:b/>
        </w:rPr>
        <w:t>crisi.</w:t>
      </w:r>
      <w:r w:rsidR="00CC5341" w:rsidRPr="00CC5341">
        <w:rPr>
          <w:b/>
        </w:rPr>
        <w:t xml:space="preserve">  </w:t>
      </w:r>
      <w:r w:rsidR="00CC5341">
        <w:rPr>
          <w:b/>
        </w:rPr>
        <w:t>A f</w:t>
      </w:r>
      <w:r w:rsidR="00427F29" w:rsidRPr="00CC5341">
        <w:rPr>
          <w:b/>
        </w:rPr>
        <w:t>arne le spese sono soprattutto giovani e donne</w:t>
      </w:r>
      <w:r w:rsidR="00EC3F30">
        <w:rPr>
          <w:b/>
        </w:rPr>
        <w:t xml:space="preserve"> . In particolare</w:t>
      </w:r>
      <w:bookmarkStart w:id="0" w:name="_GoBack"/>
      <w:bookmarkEnd w:id="0"/>
      <w:r w:rsidR="00CB1616" w:rsidRPr="00CC5341">
        <w:rPr>
          <w:b/>
        </w:rPr>
        <w:t xml:space="preserve"> per le donne under 30 la situazione è drammatica. </w:t>
      </w:r>
    </w:p>
    <w:p w:rsidR="00E5376B" w:rsidRDefault="00A56FF0" w:rsidP="0086512A">
      <w:pPr>
        <w:jc w:val="both"/>
      </w:pPr>
      <w:r>
        <w:t>Nella fascia 15-29 anni, il tasso di disoccupazione arriva al 26.9%, salendo di ben 4 punti percentuali nell’ultimo anno e assestandosi oltre la media regionale del 25.3%.</w:t>
      </w:r>
    </w:p>
    <w:p w:rsidR="00CB1515" w:rsidRDefault="00CB1515" w:rsidP="0086512A">
      <w:pPr>
        <w:jc w:val="both"/>
      </w:pPr>
      <w:r>
        <w:t xml:space="preserve">L’incremento della disoccupazione si scarica soprattutto sul lavoro femminile. Nell’ultimo anno, il tasso di disoccupazione per gli uomini </w:t>
      </w:r>
      <w:r w:rsidR="00CB1616">
        <w:t>è sceso</w:t>
      </w:r>
      <w:r>
        <w:t xml:space="preserve"> dal 7.9% al 7%, mentre per le donne è balzato dal 10.5% al 12.1%.</w:t>
      </w:r>
    </w:p>
    <w:p w:rsidR="006430A9" w:rsidRDefault="00CB1515" w:rsidP="0086512A">
      <w:pPr>
        <w:jc w:val="both"/>
      </w:pPr>
      <w:r>
        <w:t xml:space="preserve">A soffrire di più sono soprattutto le giovani donne. Il tasso di disoccupazioni delle donne nella fascia 15-29 anni sale di quasi 13 punti percentuali nell’ultimo anno, arrivando a un allarmante 42.8%. </w:t>
      </w:r>
      <w:r w:rsidRPr="00CC5341">
        <w:rPr>
          <w:b/>
        </w:rPr>
        <w:t xml:space="preserve">E’ un dato </w:t>
      </w:r>
      <w:r w:rsidR="00CC5341" w:rsidRPr="00CC5341">
        <w:rPr>
          <w:b/>
        </w:rPr>
        <w:t>drammatico</w:t>
      </w:r>
      <w:r w:rsidRPr="00CC5341">
        <w:rPr>
          <w:b/>
        </w:rPr>
        <w:t xml:space="preserve">, il peggiore di tutte le province marchigiane e </w:t>
      </w:r>
      <w:r w:rsidR="0046342E" w:rsidRPr="00CC5341">
        <w:rPr>
          <w:b/>
        </w:rPr>
        <w:t>spaventosamente alto rispetto alla media regionale del 29.6%.</w:t>
      </w:r>
      <w:r w:rsidRPr="00CC5341">
        <w:rPr>
          <w:b/>
        </w:rPr>
        <w:t xml:space="preserve"> </w:t>
      </w:r>
      <w:r w:rsidR="0046342E" w:rsidRPr="00CC5341">
        <w:rPr>
          <w:b/>
        </w:rPr>
        <w:t xml:space="preserve">Considerato che le giovani donne hanno in media livelli di istruzione più elevati dei coetanei maschi, questo dato purtroppo conferma le ricerche già note sulla </w:t>
      </w:r>
      <w:r w:rsidR="00EE489B" w:rsidRPr="00CC5341">
        <w:rPr>
          <w:b/>
        </w:rPr>
        <w:t>ridotta propensione del</w:t>
      </w:r>
      <w:r w:rsidR="0046342E" w:rsidRPr="00CC5341">
        <w:rPr>
          <w:b/>
        </w:rPr>
        <w:t xml:space="preserve"> nostro sistema produttivo </w:t>
      </w:r>
      <w:r w:rsidR="00EE489B" w:rsidRPr="00CC5341">
        <w:rPr>
          <w:b/>
        </w:rPr>
        <w:t>ad assumere giovan</w:t>
      </w:r>
      <w:r w:rsidR="0046342E" w:rsidRPr="00CC5341">
        <w:rPr>
          <w:b/>
        </w:rPr>
        <w:t>i ad alta formazione.</w:t>
      </w:r>
      <w:r w:rsidR="0046342E">
        <w:t xml:space="preserve"> </w:t>
      </w:r>
    </w:p>
    <w:p w:rsidR="00E5376B" w:rsidRPr="00CC5341" w:rsidRDefault="00E5376B" w:rsidP="0086512A">
      <w:pPr>
        <w:jc w:val="both"/>
        <w:rPr>
          <w:b/>
        </w:rPr>
      </w:pPr>
      <w:r w:rsidRPr="00CC5341">
        <w:rPr>
          <w:b/>
        </w:rPr>
        <w:t>I dati ci restituiscono</w:t>
      </w:r>
      <w:r w:rsidR="0046342E" w:rsidRPr="00CC5341">
        <w:rPr>
          <w:b/>
        </w:rPr>
        <w:t xml:space="preserve"> nel complesso</w:t>
      </w:r>
      <w:r w:rsidRPr="00CC5341">
        <w:rPr>
          <w:b/>
        </w:rPr>
        <w:t xml:space="preserve"> l’immagine di una provincia che ha smarrito il proprio percorso di sviluppo e che, in assenza di politiche in grado di sostenere l’inversione di tendenza, rivela di non </w:t>
      </w:r>
      <w:r w:rsidR="0046342E" w:rsidRPr="00CC5341">
        <w:rPr>
          <w:b/>
        </w:rPr>
        <w:t xml:space="preserve">riuscire ad </w:t>
      </w:r>
      <w:r w:rsidRPr="00CC5341">
        <w:rPr>
          <w:b/>
        </w:rPr>
        <w:t xml:space="preserve">agganciare </w:t>
      </w:r>
      <w:r w:rsidR="0046342E" w:rsidRPr="00CC5341">
        <w:rPr>
          <w:b/>
        </w:rPr>
        <w:t xml:space="preserve">gli </w:t>
      </w:r>
      <w:r w:rsidRPr="00CC5341">
        <w:rPr>
          <w:b/>
        </w:rPr>
        <w:t xml:space="preserve">spiragli di ripresa. </w:t>
      </w:r>
    </w:p>
    <w:p w:rsidR="00427F29" w:rsidRDefault="006430A9" w:rsidP="0086512A">
      <w:pPr>
        <w:jc w:val="both"/>
      </w:pPr>
      <w:r w:rsidRPr="00CC5341">
        <w:rPr>
          <w:b/>
        </w:rPr>
        <w:t>Servono investimenti forti</w:t>
      </w:r>
      <w:r w:rsidR="00EE489B" w:rsidRPr="00CC5341">
        <w:rPr>
          <w:b/>
        </w:rPr>
        <w:t xml:space="preserve"> per</w:t>
      </w:r>
      <w:r w:rsidRPr="00CC5341">
        <w:rPr>
          <w:b/>
        </w:rPr>
        <w:t xml:space="preserve"> potenziare tutti i motori occupazionali, da quelli tr</w:t>
      </w:r>
      <w:r w:rsidR="0046342E" w:rsidRPr="00CC5341">
        <w:rPr>
          <w:b/>
        </w:rPr>
        <w:t>adizionali a quelli innovativi.</w:t>
      </w:r>
      <w:r w:rsidR="00EE489B" w:rsidRPr="00CC5341">
        <w:rPr>
          <w:b/>
        </w:rPr>
        <w:t xml:space="preserve">  Abbiamo bisogno di più coraggio </w:t>
      </w:r>
      <w:r w:rsidR="0046342E" w:rsidRPr="00CC5341">
        <w:rPr>
          <w:b/>
        </w:rPr>
        <w:t>nell’area “</w:t>
      </w:r>
      <w:r w:rsidR="00EE489B" w:rsidRPr="00CC5341">
        <w:rPr>
          <w:b/>
        </w:rPr>
        <w:t>ricerca e sviluppo</w:t>
      </w:r>
      <w:r w:rsidR="0046342E" w:rsidRPr="00CC5341">
        <w:rPr>
          <w:b/>
        </w:rPr>
        <w:t>”</w:t>
      </w:r>
      <w:r w:rsidR="00EE489B" w:rsidRPr="00CC5341">
        <w:rPr>
          <w:b/>
        </w:rPr>
        <w:t xml:space="preserve"> anche per accrescere la capacità del nostro sistema produttivo di assorbire i giovani ad alta formazione. Le connessioni tra scuola, università, mondo del lavoro che nel nostro territorio si iniziano a sperimentare devono crescere e diventare strutturali per favorire la transizione dalla formazione al lavoro. </w:t>
      </w:r>
      <w:r w:rsidRPr="00CC5341">
        <w:rPr>
          <w:b/>
        </w:rPr>
        <w:t>Servono politiche attive che accompagnino i giovani in cerca di lavoro</w:t>
      </w:r>
      <w:r w:rsidR="00D930EE" w:rsidRPr="00CC5341">
        <w:rPr>
          <w:b/>
        </w:rPr>
        <w:t xml:space="preserve"> e che affianchino chi perde il lavoro in un percorso serio </w:t>
      </w:r>
      <w:r w:rsidR="00EE489B" w:rsidRPr="00CC5341">
        <w:rPr>
          <w:b/>
        </w:rPr>
        <w:t xml:space="preserve">ed efficace </w:t>
      </w:r>
      <w:r w:rsidR="00D930EE" w:rsidRPr="00CC5341">
        <w:rPr>
          <w:b/>
        </w:rPr>
        <w:t>di ricollocazione.</w:t>
      </w:r>
      <w:r w:rsidR="0046342E" w:rsidRPr="00CC5341">
        <w:rPr>
          <w:b/>
        </w:rPr>
        <w:t xml:space="preserve"> Servono sicuramente strumenti a sostegno degli investimenti necessari a sosten</w:t>
      </w:r>
      <w:r w:rsidR="002818BC" w:rsidRPr="00CC5341">
        <w:rPr>
          <w:b/>
        </w:rPr>
        <w:t>e</w:t>
      </w:r>
      <w:r w:rsidR="0046342E" w:rsidRPr="00CC5341">
        <w:rPr>
          <w:b/>
        </w:rPr>
        <w:t xml:space="preserve">re queste linee di intervento </w:t>
      </w:r>
      <w:r w:rsidR="0086512A" w:rsidRPr="00CC5341">
        <w:rPr>
          <w:b/>
        </w:rPr>
        <w:t xml:space="preserve">e in tal senso </w:t>
      </w:r>
      <w:r w:rsidR="0046342E" w:rsidRPr="00CC5341">
        <w:rPr>
          <w:b/>
        </w:rPr>
        <w:t>non possiamo permetterci di disperdere le risorse del Fondo Europeo per lo Sviluppo Regionale e del Fondo Sociale Europeo.</w:t>
      </w:r>
    </w:p>
    <w:p w:rsidR="0086512A" w:rsidRDefault="0086512A" w:rsidP="008F5FA0">
      <w:pPr>
        <w:jc w:val="right"/>
      </w:pPr>
      <w:r>
        <w:t>SILVIA SPINACI – RESPONSABILE CISL MACERATA</w:t>
      </w:r>
    </w:p>
    <w:p w:rsidR="008F5FA0" w:rsidRDefault="008F5FA0" w:rsidP="008F5FA0">
      <w:r>
        <w:t>Macerata, 22/03/2017</w:t>
      </w:r>
    </w:p>
    <w:p w:rsidR="00CB1616" w:rsidRPr="008F5FA0" w:rsidRDefault="00CB1616">
      <w:pPr>
        <w:rPr>
          <w:b/>
        </w:rPr>
      </w:pPr>
    </w:p>
    <w:p w:rsidR="00E1267A" w:rsidRPr="0086512A" w:rsidRDefault="0086512A">
      <w:pPr>
        <w:rPr>
          <w:b/>
          <w:sz w:val="32"/>
          <w:szCs w:val="32"/>
        </w:rPr>
      </w:pPr>
      <w:r w:rsidRPr="0086512A">
        <w:rPr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4947285</wp:posOffset>
            </wp:positionH>
            <wp:positionV relativeFrom="margin">
              <wp:posOffset>-375920</wp:posOffset>
            </wp:positionV>
            <wp:extent cx="1365250" cy="542925"/>
            <wp:effectExtent l="19050" t="0" r="6350" b="0"/>
            <wp:wrapSquare wrapText="bothSides"/>
            <wp:docPr id="15" name="Immagine 2" descr="C:\Documents and Settings\francesco\Desktop\LOGHI FeLSA CULTURA\cisl_marc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Documents and Settings\francesco\Desktop\LOGHI FeLSA CULTURA\cisl_march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1267A" w:rsidRPr="0086512A">
        <w:rPr>
          <w:b/>
          <w:sz w:val="32"/>
          <w:szCs w:val="32"/>
        </w:rPr>
        <w:t>SCHEDA DATI</w:t>
      </w:r>
      <w:r w:rsidR="0085062E" w:rsidRPr="0086512A">
        <w:rPr>
          <w:b/>
          <w:noProof/>
          <w:sz w:val="32"/>
          <w:szCs w:val="32"/>
        </w:rPr>
        <w:t xml:space="preserve"> </w:t>
      </w:r>
      <w:r w:rsidR="00D74305">
        <w:rPr>
          <w:b/>
          <w:noProof/>
          <w:sz w:val="32"/>
          <w:szCs w:val="32"/>
        </w:rPr>
        <w:t xml:space="preserve"> RELATIVI ALLA PROVINCIA DI  MACERATA</w:t>
      </w:r>
    </w:p>
    <w:p w:rsidR="0085062E" w:rsidRPr="0086512A" w:rsidRDefault="0085062E" w:rsidP="0085062E">
      <w:pPr>
        <w:rPr>
          <w:b/>
          <w:i/>
          <w:sz w:val="32"/>
          <w:szCs w:val="32"/>
        </w:rPr>
      </w:pPr>
      <w:r w:rsidRPr="0086512A">
        <w:rPr>
          <w:b/>
          <w:i/>
          <w:sz w:val="32"/>
          <w:szCs w:val="32"/>
        </w:rPr>
        <w:t>Fonte dati: Report CISL Marche</w:t>
      </w:r>
      <w:r w:rsidR="0086512A">
        <w:rPr>
          <w:b/>
          <w:i/>
          <w:sz w:val="32"/>
          <w:szCs w:val="32"/>
        </w:rPr>
        <w:t xml:space="preserve"> sull’occupazione - </w:t>
      </w:r>
      <w:r w:rsidRPr="0086512A">
        <w:rPr>
          <w:b/>
          <w:i/>
          <w:sz w:val="32"/>
          <w:szCs w:val="32"/>
        </w:rPr>
        <w:t xml:space="preserve">elaborazione dati ISTAT dicembre 2016 </w:t>
      </w:r>
    </w:p>
    <w:p w:rsidR="00E1267A" w:rsidRDefault="00E1267A"/>
    <w:p w:rsidR="00E1267A" w:rsidRPr="0085062E" w:rsidRDefault="00E1267A" w:rsidP="0085062E">
      <w:pPr>
        <w:spacing w:after="0"/>
        <w:jc w:val="center"/>
        <w:rPr>
          <w:b/>
          <w:sz w:val="28"/>
          <w:szCs w:val="28"/>
        </w:rPr>
      </w:pPr>
      <w:r w:rsidRPr="0085062E">
        <w:rPr>
          <w:b/>
          <w:sz w:val="28"/>
          <w:szCs w:val="28"/>
        </w:rPr>
        <w:t>Andamento numero occupati</w:t>
      </w:r>
    </w:p>
    <w:p w:rsidR="00E1267A" w:rsidRDefault="00E1267A" w:rsidP="0085062E">
      <w:pPr>
        <w:spacing w:after="0"/>
        <w:jc w:val="center"/>
        <w:rPr>
          <w:b/>
        </w:rPr>
      </w:pPr>
      <w:r w:rsidRPr="0085062E">
        <w:rPr>
          <w:b/>
        </w:rPr>
        <w:t>(dati al 31 dicembre di ogni anno - valori in migliaia di unità)</w:t>
      </w:r>
    </w:p>
    <w:p w:rsidR="0085062E" w:rsidRPr="0085062E" w:rsidRDefault="0085062E" w:rsidP="0085062E">
      <w:pPr>
        <w:spacing w:after="0"/>
        <w:jc w:val="center"/>
        <w:rPr>
          <w:b/>
        </w:rPr>
      </w:pPr>
    </w:p>
    <w:p w:rsidR="00E1267A" w:rsidRDefault="00E1267A" w:rsidP="0086512A">
      <w:pPr>
        <w:spacing w:after="0"/>
        <w:jc w:val="center"/>
      </w:pPr>
      <w:r w:rsidRPr="00486312">
        <w:rPr>
          <w:noProof/>
        </w:rPr>
        <w:drawing>
          <wp:inline distT="0" distB="0" distL="0" distR="0">
            <wp:extent cx="5072098" cy="3028952"/>
            <wp:effectExtent l="19050" t="0" r="14252" b="0"/>
            <wp:docPr id="3" name="Gra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1267A" w:rsidRDefault="00E1267A" w:rsidP="00E1267A"/>
    <w:p w:rsidR="00E1267A" w:rsidRDefault="00E1267A" w:rsidP="0086512A">
      <w:pPr>
        <w:jc w:val="center"/>
      </w:pPr>
      <w:r w:rsidRPr="00486312">
        <w:rPr>
          <w:noProof/>
        </w:rPr>
        <w:drawing>
          <wp:inline distT="0" distB="0" distL="0" distR="0">
            <wp:extent cx="5429288" cy="2928958"/>
            <wp:effectExtent l="19050" t="0" r="19012" b="4742"/>
            <wp:docPr id="4" name="Grafico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1267A" w:rsidRDefault="00E1267A" w:rsidP="00E1267A"/>
    <w:p w:rsidR="00E1267A" w:rsidRDefault="00D74305" w:rsidP="00E1267A">
      <w:r w:rsidRPr="0086512A">
        <w:rPr>
          <w:b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52C64A27" wp14:editId="1C179AC1">
            <wp:simplePos x="0" y="0"/>
            <wp:positionH relativeFrom="margin">
              <wp:posOffset>5099685</wp:posOffset>
            </wp:positionH>
            <wp:positionV relativeFrom="margin">
              <wp:posOffset>-223520</wp:posOffset>
            </wp:positionV>
            <wp:extent cx="1365250" cy="542925"/>
            <wp:effectExtent l="19050" t="0" r="6350" b="0"/>
            <wp:wrapSquare wrapText="bothSides"/>
            <wp:docPr id="1" name="Immagine 2" descr="C:\Documents and Settings\francesco\Desktop\LOGHI FeLSA CULTURA\cisl_marc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Documents and Settings\francesco\Desktop\LOGHI FeLSA CULTURA\cisl_march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267A" w:rsidRDefault="00E1267A" w:rsidP="00E1267A"/>
    <w:p w:rsidR="0085062E" w:rsidRDefault="00E1267A" w:rsidP="0085062E">
      <w:pPr>
        <w:spacing w:after="0"/>
        <w:jc w:val="center"/>
        <w:rPr>
          <w:b/>
          <w:sz w:val="28"/>
          <w:szCs w:val="28"/>
        </w:rPr>
      </w:pPr>
      <w:r w:rsidRPr="0085062E">
        <w:rPr>
          <w:b/>
          <w:sz w:val="28"/>
          <w:szCs w:val="28"/>
        </w:rPr>
        <w:t>Andamento Tasso di Disoccupazione</w:t>
      </w:r>
    </w:p>
    <w:p w:rsidR="00E1267A" w:rsidRPr="0085062E" w:rsidRDefault="00E1267A" w:rsidP="0085062E">
      <w:pPr>
        <w:jc w:val="center"/>
        <w:rPr>
          <w:b/>
        </w:rPr>
      </w:pPr>
      <w:r w:rsidRPr="0085062E">
        <w:rPr>
          <w:b/>
        </w:rPr>
        <w:t>(dati al 31 dicembre di ogni anno  – valori in %)</w:t>
      </w:r>
    </w:p>
    <w:p w:rsidR="00E1267A" w:rsidRDefault="00E1267A"/>
    <w:p w:rsidR="00E1267A" w:rsidRDefault="00E1267A">
      <w:r w:rsidRPr="00E1267A">
        <w:rPr>
          <w:noProof/>
        </w:rPr>
        <w:drawing>
          <wp:inline distT="0" distB="0" distL="0" distR="0">
            <wp:extent cx="5838825" cy="2886075"/>
            <wp:effectExtent l="19050" t="0" r="9525" b="0"/>
            <wp:docPr id="5" name="Grafic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5062E" w:rsidRDefault="0085062E"/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5062E" w:rsidTr="005C3074">
        <w:trPr>
          <w:jc w:val="center"/>
        </w:trPr>
        <w:tc>
          <w:tcPr>
            <w:tcW w:w="4889" w:type="dxa"/>
          </w:tcPr>
          <w:p w:rsidR="0085062E" w:rsidRPr="0085062E" w:rsidRDefault="0085062E" w:rsidP="005C3074">
            <w:pPr>
              <w:jc w:val="center"/>
              <w:rPr>
                <w:sz w:val="28"/>
                <w:szCs w:val="28"/>
              </w:rPr>
            </w:pPr>
            <w:r w:rsidRPr="0085062E">
              <w:rPr>
                <w:sz w:val="28"/>
                <w:szCs w:val="28"/>
              </w:rPr>
              <w:t>UOMINI</w:t>
            </w:r>
          </w:p>
          <w:p w:rsidR="0085062E" w:rsidRPr="0085062E" w:rsidRDefault="0085062E" w:rsidP="005C307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89" w:type="dxa"/>
          </w:tcPr>
          <w:p w:rsidR="0085062E" w:rsidRPr="0085062E" w:rsidRDefault="0085062E" w:rsidP="005C3074">
            <w:pPr>
              <w:jc w:val="center"/>
              <w:rPr>
                <w:sz w:val="28"/>
                <w:szCs w:val="28"/>
              </w:rPr>
            </w:pPr>
            <w:r w:rsidRPr="0085062E">
              <w:rPr>
                <w:sz w:val="28"/>
                <w:szCs w:val="28"/>
              </w:rPr>
              <w:t>DONNE</w:t>
            </w:r>
          </w:p>
        </w:tc>
      </w:tr>
    </w:tbl>
    <w:p w:rsidR="00E1267A" w:rsidRDefault="00E1267A">
      <w:pPr>
        <w:rPr>
          <w:noProof/>
        </w:rPr>
      </w:pPr>
      <w:r w:rsidRPr="00E1267A">
        <w:rPr>
          <w:noProof/>
        </w:rPr>
        <w:drawing>
          <wp:inline distT="0" distB="0" distL="0" distR="0">
            <wp:extent cx="2895600" cy="2314575"/>
            <wp:effectExtent l="19050" t="0" r="19050" b="0"/>
            <wp:docPr id="6" name="Gra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E1267A">
        <w:rPr>
          <w:noProof/>
        </w:rPr>
        <w:t xml:space="preserve"> </w:t>
      </w:r>
      <w:r w:rsidRPr="00E1267A">
        <w:rPr>
          <w:noProof/>
        </w:rPr>
        <w:drawing>
          <wp:inline distT="0" distB="0" distL="0" distR="0">
            <wp:extent cx="2943225" cy="2314575"/>
            <wp:effectExtent l="19050" t="0" r="9525" b="0"/>
            <wp:docPr id="7" name="Gra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5062E" w:rsidRDefault="0085062E"/>
    <w:p w:rsidR="0085062E" w:rsidRDefault="0085062E" w:rsidP="0085062E">
      <w:pPr>
        <w:spacing w:after="0"/>
        <w:jc w:val="center"/>
        <w:rPr>
          <w:b/>
          <w:sz w:val="28"/>
          <w:szCs w:val="28"/>
        </w:rPr>
      </w:pPr>
    </w:p>
    <w:p w:rsidR="0085062E" w:rsidRDefault="0085062E" w:rsidP="0085062E">
      <w:pPr>
        <w:spacing w:after="0"/>
        <w:jc w:val="center"/>
        <w:rPr>
          <w:b/>
          <w:sz w:val="28"/>
          <w:szCs w:val="28"/>
        </w:rPr>
      </w:pPr>
    </w:p>
    <w:p w:rsidR="0085062E" w:rsidRDefault="0085062E" w:rsidP="0085062E">
      <w:pPr>
        <w:spacing w:after="0"/>
        <w:jc w:val="center"/>
        <w:rPr>
          <w:b/>
          <w:sz w:val="28"/>
          <w:szCs w:val="28"/>
        </w:rPr>
      </w:pPr>
    </w:p>
    <w:p w:rsidR="0085062E" w:rsidRDefault="0085062E" w:rsidP="0085062E">
      <w:pPr>
        <w:spacing w:after="0"/>
        <w:jc w:val="center"/>
        <w:rPr>
          <w:b/>
          <w:sz w:val="28"/>
          <w:szCs w:val="28"/>
        </w:rPr>
      </w:pPr>
    </w:p>
    <w:p w:rsidR="0085062E" w:rsidRDefault="00D74305" w:rsidP="0085062E">
      <w:pPr>
        <w:spacing w:after="0"/>
        <w:jc w:val="center"/>
        <w:rPr>
          <w:b/>
          <w:sz w:val="28"/>
          <w:szCs w:val="28"/>
        </w:rPr>
      </w:pPr>
      <w:r w:rsidRPr="0086512A">
        <w:rPr>
          <w:b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52C64A27" wp14:editId="1C179AC1">
            <wp:simplePos x="0" y="0"/>
            <wp:positionH relativeFrom="margin">
              <wp:posOffset>5252085</wp:posOffset>
            </wp:positionH>
            <wp:positionV relativeFrom="margin">
              <wp:posOffset>-71120</wp:posOffset>
            </wp:positionV>
            <wp:extent cx="1365250" cy="542925"/>
            <wp:effectExtent l="19050" t="0" r="6350" b="0"/>
            <wp:wrapSquare wrapText="bothSides"/>
            <wp:docPr id="2" name="Immagine 2" descr="C:\Documents and Settings\francesco\Desktop\LOGHI FeLSA CULTURA\cisl_marc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Documents and Settings\francesco\Desktop\LOGHI FeLSA CULTURA\cisl_march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5062E" w:rsidRDefault="0085062E" w:rsidP="0085062E">
      <w:pPr>
        <w:spacing w:after="0"/>
        <w:jc w:val="center"/>
        <w:rPr>
          <w:b/>
          <w:sz w:val="28"/>
          <w:szCs w:val="28"/>
        </w:rPr>
      </w:pPr>
    </w:p>
    <w:p w:rsidR="0085062E" w:rsidRDefault="0085062E" w:rsidP="0085062E">
      <w:pPr>
        <w:spacing w:after="0"/>
        <w:jc w:val="center"/>
        <w:rPr>
          <w:b/>
          <w:sz w:val="28"/>
          <w:szCs w:val="28"/>
        </w:rPr>
      </w:pPr>
      <w:r w:rsidRPr="0085062E">
        <w:rPr>
          <w:b/>
          <w:sz w:val="28"/>
          <w:szCs w:val="28"/>
        </w:rPr>
        <w:t>Andamento Tasso di Disoccupazione</w:t>
      </w:r>
      <w:r>
        <w:rPr>
          <w:b/>
          <w:sz w:val="28"/>
          <w:szCs w:val="28"/>
        </w:rPr>
        <w:t xml:space="preserve"> 15-29 anni</w:t>
      </w:r>
    </w:p>
    <w:p w:rsidR="0085062E" w:rsidRPr="0085062E" w:rsidRDefault="0085062E" w:rsidP="0085062E">
      <w:pPr>
        <w:jc w:val="center"/>
        <w:rPr>
          <w:b/>
        </w:rPr>
      </w:pPr>
      <w:r w:rsidRPr="0085062E">
        <w:rPr>
          <w:b/>
        </w:rPr>
        <w:t>(dati al 31 dicembre di ogni anno  – valori in %)</w:t>
      </w:r>
    </w:p>
    <w:p w:rsidR="0085062E" w:rsidRDefault="0085062E"/>
    <w:p w:rsidR="0085062E" w:rsidRDefault="0085062E">
      <w:r w:rsidRPr="0085062E">
        <w:rPr>
          <w:noProof/>
        </w:rPr>
        <w:drawing>
          <wp:inline distT="0" distB="0" distL="0" distR="0">
            <wp:extent cx="5934075" cy="3028950"/>
            <wp:effectExtent l="19050" t="0" r="9525" b="0"/>
            <wp:docPr id="8" name="Grafico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5062E" w:rsidRDefault="0085062E"/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5062E" w:rsidTr="0085062E">
        <w:trPr>
          <w:jc w:val="center"/>
        </w:trPr>
        <w:tc>
          <w:tcPr>
            <w:tcW w:w="4889" w:type="dxa"/>
          </w:tcPr>
          <w:p w:rsidR="0085062E" w:rsidRPr="0085062E" w:rsidRDefault="0085062E" w:rsidP="0085062E">
            <w:pPr>
              <w:jc w:val="center"/>
              <w:rPr>
                <w:sz w:val="28"/>
                <w:szCs w:val="28"/>
              </w:rPr>
            </w:pPr>
            <w:r w:rsidRPr="0085062E">
              <w:rPr>
                <w:sz w:val="28"/>
                <w:szCs w:val="28"/>
              </w:rPr>
              <w:t>UOMINI</w:t>
            </w:r>
          </w:p>
          <w:p w:rsidR="0085062E" w:rsidRPr="0085062E" w:rsidRDefault="0085062E" w:rsidP="008506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89" w:type="dxa"/>
          </w:tcPr>
          <w:p w:rsidR="0085062E" w:rsidRPr="0085062E" w:rsidRDefault="0085062E" w:rsidP="0085062E">
            <w:pPr>
              <w:jc w:val="center"/>
              <w:rPr>
                <w:sz w:val="28"/>
                <w:szCs w:val="28"/>
              </w:rPr>
            </w:pPr>
            <w:r w:rsidRPr="0085062E">
              <w:rPr>
                <w:sz w:val="28"/>
                <w:szCs w:val="28"/>
              </w:rPr>
              <w:t>DONNE</w:t>
            </w:r>
          </w:p>
        </w:tc>
      </w:tr>
    </w:tbl>
    <w:p w:rsidR="0085062E" w:rsidRDefault="0085062E">
      <w:r w:rsidRPr="0085062E">
        <w:rPr>
          <w:noProof/>
        </w:rPr>
        <w:drawing>
          <wp:inline distT="0" distB="0" distL="0" distR="0">
            <wp:extent cx="2952750" cy="2429510"/>
            <wp:effectExtent l="19050" t="0" r="19050" b="8890"/>
            <wp:docPr id="13" name="Grafico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Pr="0085062E">
        <w:rPr>
          <w:noProof/>
        </w:rPr>
        <w:drawing>
          <wp:inline distT="0" distB="0" distL="0" distR="0">
            <wp:extent cx="3000375" cy="2433955"/>
            <wp:effectExtent l="19050" t="0" r="9525" b="4445"/>
            <wp:docPr id="10" name="Grafico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sectPr w:rsidR="0085062E" w:rsidSect="0086512A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F4F"/>
    <w:rsid w:val="00113C39"/>
    <w:rsid w:val="002818BC"/>
    <w:rsid w:val="002A39C0"/>
    <w:rsid w:val="00427F29"/>
    <w:rsid w:val="0046342E"/>
    <w:rsid w:val="00486312"/>
    <w:rsid w:val="006430A9"/>
    <w:rsid w:val="0085062E"/>
    <w:rsid w:val="0086512A"/>
    <w:rsid w:val="0087527E"/>
    <w:rsid w:val="008F5FA0"/>
    <w:rsid w:val="00A4712F"/>
    <w:rsid w:val="00A56FF0"/>
    <w:rsid w:val="00CB1515"/>
    <w:rsid w:val="00CB1616"/>
    <w:rsid w:val="00CC5341"/>
    <w:rsid w:val="00D31AB6"/>
    <w:rsid w:val="00D74305"/>
    <w:rsid w:val="00D930EE"/>
    <w:rsid w:val="00E1267A"/>
    <w:rsid w:val="00E5376B"/>
    <w:rsid w:val="00EC3F30"/>
    <w:rsid w:val="00EE489B"/>
    <w:rsid w:val="00FE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6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6312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semiHidden/>
    <w:unhideWhenUsed/>
    <w:rsid w:val="00486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gliatabella">
    <w:name w:val="Table Grid"/>
    <w:basedOn w:val="Tabellanormale"/>
    <w:uiPriority w:val="59"/>
    <w:rsid w:val="00850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6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6312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semiHidden/>
    <w:unhideWhenUsed/>
    <w:rsid w:val="00486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gliatabella">
    <w:name w:val="Table Grid"/>
    <w:basedOn w:val="Tabellanormale"/>
    <w:uiPriority w:val="59"/>
    <w:rsid w:val="00850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chart" Target="charts/chart5.xml"/><Relationship Id="rId4" Type="http://schemas.openxmlformats.org/officeDocument/2006/relationships/webSettings" Target="webSettings.xml"/><Relationship Id="rId9" Type="http://schemas.openxmlformats.org/officeDocument/2006/relationships/chart" Target="charts/chart4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tente\Desktop\Mdl%20gennaio%2016\dati%20gennaio%202016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tente\Desktop\Mdl%20gennaio%2016\dati%20gennaio%202016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tente\Desktop\Mdl%20gennaio%2016\dati%20gennaio%202016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tente\Desktop\Mdl%20gennaio%2016\dati%20gennaio%202016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tente\Desktop\Mdl%20gennaio%2016\dati%20gennaio%202016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tente\Desktop\Mdl%20gennaio%2016\dati%20gennaio%202016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tente\Desktop\Mdl%20gennaio%2016\dati%20gennaio%202016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tente\Desktop\Mdl%20gennaio%2016\dati%20gennaio%20201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2.7542843217934692E-2"/>
          <c:y val="6.7085909581928019E-2"/>
          <c:w val="0.94491431356413158"/>
          <c:h val="0.81769040909198965"/>
        </c:manualLayout>
      </c:layout>
      <c:lineChart>
        <c:grouping val="standard"/>
        <c:varyColors val="0"/>
        <c:ser>
          <c:idx val="0"/>
          <c:order val="0"/>
          <c:dLbls>
            <c:dLbl>
              <c:idx val="0"/>
              <c:layout>
                <c:manualLayout>
                  <c:x val="-3.755842256991096E-2"/>
                  <c:y val="-5.03144321864461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3.0046738055928765E-2"/>
                  <c:y val="6.28930402330575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2.2535053541946556E-2"/>
                  <c:y val="-7.127877893079850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7589581273863412E-2"/>
                  <c:y val="6.28927100858647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7.511684513982193E-3"/>
                  <c:y val="-4.19286934887050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4.2566212245899106E-2"/>
                  <c:y val="5.03144321864460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6.2597370949851641E-2"/>
                  <c:y val="-7.96645176285395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1.2519474189970306E-2"/>
                  <c:y val="5.87001708841870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>
                    <a:solidFill>
                      <a:srgbClr val="FF0000"/>
                    </a:solidFill>
                  </a:defRPr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Occupati!$H$23:$P$23</c:f>
              <c:strCach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strCache>
            </c:strRef>
          </c:cat>
          <c:val>
            <c:numRef>
              <c:f>Occupati!$H$33:$P$33</c:f>
              <c:numCache>
                <c:formatCode>0.0</c:formatCode>
                <c:ptCount val="9"/>
                <c:pt idx="0">
                  <c:v>134.298</c:v>
                </c:pt>
                <c:pt idx="1">
                  <c:v>130.27299999999997</c:v>
                </c:pt>
                <c:pt idx="2">
                  <c:v>132.65900000000002</c:v>
                </c:pt>
                <c:pt idx="3">
                  <c:v>131.29</c:v>
                </c:pt>
                <c:pt idx="4">
                  <c:v>129.26899999999998</c:v>
                </c:pt>
                <c:pt idx="5">
                  <c:v>123.134</c:v>
                </c:pt>
                <c:pt idx="6">
                  <c:v>131.90600000000001</c:v>
                </c:pt>
                <c:pt idx="7">
                  <c:v>131.06</c:v>
                </c:pt>
                <c:pt idx="8">
                  <c:v>129.02800000000019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2408320"/>
        <c:axId val="162409856"/>
      </c:lineChart>
      <c:catAx>
        <c:axId val="1624083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62409856"/>
        <c:crosses val="autoZero"/>
        <c:auto val="1"/>
        <c:lblAlgn val="ctr"/>
        <c:lblOffset val="100"/>
        <c:noMultiLvlLbl val="0"/>
      </c:catAx>
      <c:valAx>
        <c:axId val="162409856"/>
        <c:scaling>
          <c:orientation val="minMax"/>
        </c:scaling>
        <c:delete val="1"/>
        <c:axPos val="l"/>
        <c:majorGridlines/>
        <c:numFmt formatCode="0.0" sourceLinked="1"/>
        <c:majorTickMark val="out"/>
        <c:minorTickMark val="none"/>
        <c:tickLblPos val="none"/>
        <c:crossAx val="1624083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2.6788244773607691E-2"/>
          <c:y val="0"/>
          <c:w val="0.76396028053064113"/>
          <c:h val="0.84696882854307665"/>
        </c:manualLayout>
      </c:layout>
      <c:barChart>
        <c:barDir val="col"/>
        <c:grouping val="stacked"/>
        <c:varyColors val="0"/>
        <c:ser>
          <c:idx val="0"/>
          <c:order val="0"/>
          <c:tx>
            <c:v>Indipendenti</c:v>
          </c:tx>
          <c:spPr>
            <a:solidFill>
              <a:srgbClr val="0066FF"/>
            </a:solidFill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/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Occupati!$H$45:$P$45</c:f>
              <c:strCach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strCache>
            </c:strRef>
          </c:cat>
          <c:val>
            <c:numRef>
              <c:f>Occupati!$H$54:$P$54</c:f>
              <c:numCache>
                <c:formatCode>0.0</c:formatCode>
                <c:ptCount val="9"/>
                <c:pt idx="0">
                  <c:v>35.756</c:v>
                </c:pt>
                <c:pt idx="1">
                  <c:v>36.117000000000004</c:v>
                </c:pt>
                <c:pt idx="2">
                  <c:v>37.70600000000001</c:v>
                </c:pt>
                <c:pt idx="3">
                  <c:v>38.494</c:v>
                </c:pt>
                <c:pt idx="4">
                  <c:v>34.019000000000005</c:v>
                </c:pt>
                <c:pt idx="5">
                  <c:v>33.905000000000001</c:v>
                </c:pt>
                <c:pt idx="6">
                  <c:v>34.869</c:v>
                </c:pt>
                <c:pt idx="7">
                  <c:v>38.62700000000001</c:v>
                </c:pt>
                <c:pt idx="8">
                  <c:v>40.171000000000006</c:v>
                </c:pt>
              </c:numCache>
            </c:numRef>
          </c:val>
        </c:ser>
        <c:ser>
          <c:idx val="1"/>
          <c:order val="1"/>
          <c:tx>
            <c:v>Dipendenti</c:v>
          </c:tx>
          <c:spPr>
            <a:solidFill>
              <a:srgbClr val="FF0000"/>
            </a:solidFill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/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Occupati!$H$45:$P$45</c:f>
              <c:strCach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strCache>
            </c:strRef>
          </c:cat>
          <c:val>
            <c:numRef>
              <c:f>Occupati!$H$55:$P$55</c:f>
              <c:numCache>
                <c:formatCode>0.0</c:formatCode>
                <c:ptCount val="9"/>
                <c:pt idx="0">
                  <c:v>98.542000000000002</c:v>
                </c:pt>
                <c:pt idx="1">
                  <c:v>94.155999999999949</c:v>
                </c:pt>
                <c:pt idx="2">
                  <c:v>94.953000000000003</c:v>
                </c:pt>
                <c:pt idx="3">
                  <c:v>92.796000000000006</c:v>
                </c:pt>
                <c:pt idx="4">
                  <c:v>95.25</c:v>
                </c:pt>
                <c:pt idx="5">
                  <c:v>89.228999999999999</c:v>
                </c:pt>
                <c:pt idx="6">
                  <c:v>97.037000000000006</c:v>
                </c:pt>
                <c:pt idx="7">
                  <c:v>92.433000000000007</c:v>
                </c:pt>
                <c:pt idx="8">
                  <c:v>88.856999999999999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28393344"/>
        <c:axId val="228394880"/>
      </c:barChart>
      <c:catAx>
        <c:axId val="228393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8394880"/>
        <c:crosses val="autoZero"/>
        <c:auto val="1"/>
        <c:lblAlgn val="ctr"/>
        <c:lblOffset val="100"/>
        <c:noMultiLvlLbl val="0"/>
      </c:catAx>
      <c:valAx>
        <c:axId val="228394880"/>
        <c:scaling>
          <c:orientation val="minMax"/>
        </c:scaling>
        <c:delete val="1"/>
        <c:axPos val="l"/>
        <c:majorGridlines/>
        <c:numFmt formatCode="0.0" sourceLinked="1"/>
        <c:majorTickMark val="out"/>
        <c:minorTickMark val="none"/>
        <c:tickLblPos val="none"/>
        <c:crossAx val="2283933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415094339622669"/>
          <c:y val="0.41319444444444442"/>
          <c:w val="0.2146226415094343"/>
          <c:h val="0.16666666666666666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dLbls>
            <c:dLbl>
              <c:idx val="0"/>
              <c:layout>
                <c:manualLayout>
                  <c:x val="-2.4509803921568631E-2"/>
                  <c:y val="-8.55855855855856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3.4313725490196081E-2"/>
                  <c:y val="-8.10810810810810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2.5000000000000001E-2"/>
                  <c:y val="6.944444444444450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5.5228693839740731E-2"/>
                  <c:y val="-7.357345534510889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5.0326733055426995E-2"/>
                  <c:y val="6.406398524508770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3.0065423807318283E-2"/>
                  <c:y val="5.492977229197698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5.39215686274509E-2"/>
                  <c:y val="-4.95495495495495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>
                    <a:solidFill>
                      <a:srgbClr val="FF0000"/>
                    </a:solidFill>
                  </a:defRPr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DISOCCUPAZIONE!$G$34:$O$34</c:f>
              <c:strCach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strCache>
            </c:strRef>
          </c:cat>
          <c:val>
            <c:numRef>
              <c:f>DISOCCUPAZIONE!$G$38:$O$38</c:f>
              <c:numCache>
                <c:formatCode>0.0</c:formatCode>
                <c:ptCount val="9"/>
                <c:pt idx="0">
                  <c:v>4.2813869999999996</c:v>
                </c:pt>
                <c:pt idx="1">
                  <c:v>5.2491089999999998</c:v>
                </c:pt>
                <c:pt idx="2">
                  <c:v>5.8855659999999954</c:v>
                </c:pt>
                <c:pt idx="3">
                  <c:v>5.2775869999999951</c:v>
                </c:pt>
                <c:pt idx="4">
                  <c:v>8.0793000000000035</c:v>
                </c:pt>
                <c:pt idx="5">
                  <c:v>12.811907</c:v>
                </c:pt>
                <c:pt idx="6">
                  <c:v>9.1456360000000068</c:v>
                </c:pt>
                <c:pt idx="7">
                  <c:v>9.0158070000000006</c:v>
                </c:pt>
                <c:pt idx="8">
                  <c:v>9.2649890000000017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8423552"/>
        <c:axId val="228425088"/>
      </c:lineChart>
      <c:catAx>
        <c:axId val="2284235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8425088"/>
        <c:crosses val="autoZero"/>
        <c:auto val="1"/>
        <c:lblAlgn val="ctr"/>
        <c:lblOffset val="100"/>
        <c:noMultiLvlLbl val="0"/>
      </c:catAx>
      <c:valAx>
        <c:axId val="228425088"/>
        <c:scaling>
          <c:orientation val="minMax"/>
        </c:scaling>
        <c:delete val="1"/>
        <c:axPos val="l"/>
        <c:majorGridlines/>
        <c:numFmt formatCode="0.0" sourceLinked="1"/>
        <c:majorTickMark val="out"/>
        <c:minorTickMark val="none"/>
        <c:tickLblPos val="none"/>
        <c:crossAx val="2284235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dLbls>
            <c:dLbl>
              <c:idx val="0"/>
              <c:layout>
                <c:manualLayout>
                  <c:x val="-3.4755047816178899E-2"/>
                  <c:y val="-6.095195434202690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3.1595498014708075E-2"/>
                  <c:y val="-7.6189942927533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5267641234363984E-2"/>
                  <c:y val="8.97925473837453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4.1666666666666664E-2"/>
                  <c:y val="-6.77966101694917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5.0494830279931201E-2"/>
                  <c:y val="7.21864713857770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6.6234612743683391E-2"/>
                  <c:y val="-7.38650498134246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4.3792355382181125E-2"/>
                  <c:y val="6.42659168989693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>
                    <a:solidFill>
                      <a:srgbClr val="FF0000"/>
                    </a:solidFill>
                  </a:defRPr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DISOCCUPAZIONE!$G$70:$O$70</c:f>
              <c:strCach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strCache>
            </c:strRef>
          </c:cat>
          <c:val>
            <c:numRef>
              <c:f>DISOCCUPAZIONE!$G$74:$O$74</c:f>
              <c:numCache>
                <c:formatCode>0.0</c:formatCode>
                <c:ptCount val="9"/>
                <c:pt idx="0">
                  <c:v>4.5637049999999952</c:v>
                </c:pt>
                <c:pt idx="1">
                  <c:v>4.8130459999999955</c:v>
                </c:pt>
                <c:pt idx="2">
                  <c:v>4.7692519999999998</c:v>
                </c:pt>
                <c:pt idx="3">
                  <c:v>4.4625659999999954</c:v>
                </c:pt>
                <c:pt idx="4">
                  <c:v>7.5924620000000003</c:v>
                </c:pt>
                <c:pt idx="5">
                  <c:v>11.369549000000015</c:v>
                </c:pt>
                <c:pt idx="6">
                  <c:v>7.1424109999999938</c:v>
                </c:pt>
                <c:pt idx="7">
                  <c:v>7.8789680000000004</c:v>
                </c:pt>
                <c:pt idx="8">
                  <c:v>7.0156390000000002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8441088"/>
        <c:axId val="228938496"/>
      </c:lineChart>
      <c:catAx>
        <c:axId val="228441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8938496"/>
        <c:crosses val="autoZero"/>
        <c:auto val="1"/>
        <c:lblAlgn val="ctr"/>
        <c:lblOffset val="100"/>
        <c:noMultiLvlLbl val="0"/>
      </c:catAx>
      <c:valAx>
        <c:axId val="228938496"/>
        <c:scaling>
          <c:orientation val="minMax"/>
        </c:scaling>
        <c:delete val="1"/>
        <c:axPos val="l"/>
        <c:majorGridlines/>
        <c:numFmt formatCode="0.0" sourceLinked="1"/>
        <c:majorTickMark val="out"/>
        <c:minorTickMark val="none"/>
        <c:tickLblPos val="none"/>
        <c:crossAx val="2284410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dLbls>
            <c:dLbl>
              <c:idx val="2"/>
              <c:layout>
                <c:manualLayout>
                  <c:x val="-7.3529411764705881E-3"/>
                  <c:y val="5.4237288135593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4.1666666666666664E-2"/>
                  <c:y val="-6.77966101694917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2.2058823529411815E-2"/>
                  <c:y val="-4.97175141242939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4.4117647058823713E-2"/>
                  <c:y val="6.32768361581920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3.4313725490196081E-2"/>
                  <c:y val="-6.77966101694917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>
                    <a:solidFill>
                      <a:srgbClr val="FF0000"/>
                    </a:solidFill>
                  </a:defRPr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DISOCCUPAZIONE!$G$82:$O$82</c:f>
              <c:strCach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strCache>
            </c:strRef>
          </c:cat>
          <c:val>
            <c:numRef>
              <c:f>DISOCCUPAZIONE!$G$86:$O$86</c:f>
              <c:numCache>
                <c:formatCode>0.0</c:formatCode>
                <c:ptCount val="9"/>
                <c:pt idx="0">
                  <c:v>3.9063669999999977</c:v>
                </c:pt>
                <c:pt idx="1">
                  <c:v>5.8260959999999953</c:v>
                </c:pt>
                <c:pt idx="2">
                  <c:v>7.2854039999999998</c:v>
                </c:pt>
                <c:pt idx="3">
                  <c:v>6.3224449999999939</c:v>
                </c:pt>
                <c:pt idx="4">
                  <c:v>8.7370849999999987</c:v>
                </c:pt>
                <c:pt idx="5">
                  <c:v>14.592927</c:v>
                </c:pt>
                <c:pt idx="6">
                  <c:v>11.602897</c:v>
                </c:pt>
                <c:pt idx="7">
                  <c:v>10.467009000000004</c:v>
                </c:pt>
                <c:pt idx="8">
                  <c:v>12.094508000000001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8966400"/>
        <c:axId val="228967936"/>
      </c:lineChart>
      <c:catAx>
        <c:axId val="2289664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8967936"/>
        <c:crosses val="autoZero"/>
        <c:auto val="1"/>
        <c:lblAlgn val="ctr"/>
        <c:lblOffset val="100"/>
        <c:noMultiLvlLbl val="0"/>
      </c:catAx>
      <c:valAx>
        <c:axId val="228967936"/>
        <c:scaling>
          <c:orientation val="minMax"/>
        </c:scaling>
        <c:delete val="1"/>
        <c:axPos val="l"/>
        <c:majorGridlines/>
        <c:numFmt formatCode="0.0" sourceLinked="1"/>
        <c:majorTickMark val="out"/>
        <c:minorTickMark val="none"/>
        <c:tickLblPos val="none"/>
        <c:crossAx val="2289664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dLbls>
            <c:dLbl>
              <c:idx val="2"/>
              <c:layout>
                <c:manualLayout>
                  <c:x val="-4.1666666666666664E-2"/>
                  <c:y val="-6.94444444444445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5.2777777777777674E-2"/>
                  <c:y val="6.94444444444445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1.6666666666666684E-2"/>
                  <c:y val="5.5555555555555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4.722222222222227E-2"/>
                  <c:y val="-8.79629629629630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>
                    <a:solidFill>
                      <a:srgbClr val="FF0000"/>
                    </a:solidFill>
                  </a:defRPr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'dis giov'!$G$24:$O$24</c:f>
              <c:strCach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strCache>
            </c:strRef>
          </c:cat>
          <c:val>
            <c:numRef>
              <c:f>'dis giov'!$G$28:$O$28</c:f>
              <c:numCache>
                <c:formatCode>0.0</c:formatCode>
                <c:ptCount val="9"/>
                <c:pt idx="0">
                  <c:v>8.1299870000000034</c:v>
                </c:pt>
                <c:pt idx="1">
                  <c:v>12.680538</c:v>
                </c:pt>
                <c:pt idx="2">
                  <c:v>16.247494</c:v>
                </c:pt>
                <c:pt idx="3">
                  <c:v>11.996016000000004</c:v>
                </c:pt>
                <c:pt idx="4">
                  <c:v>19.505740999999976</c:v>
                </c:pt>
                <c:pt idx="5">
                  <c:v>33.096148000000035</c:v>
                </c:pt>
                <c:pt idx="6">
                  <c:v>21.489138999999977</c:v>
                </c:pt>
                <c:pt idx="7">
                  <c:v>22.913656</c:v>
                </c:pt>
                <c:pt idx="8">
                  <c:v>26.900476999999977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8979840"/>
        <c:axId val="228981376"/>
      </c:lineChart>
      <c:catAx>
        <c:axId val="2289798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8981376"/>
        <c:crosses val="autoZero"/>
        <c:auto val="1"/>
        <c:lblAlgn val="ctr"/>
        <c:lblOffset val="100"/>
        <c:noMultiLvlLbl val="0"/>
      </c:catAx>
      <c:valAx>
        <c:axId val="228981376"/>
        <c:scaling>
          <c:orientation val="minMax"/>
        </c:scaling>
        <c:delete val="1"/>
        <c:axPos val="l"/>
        <c:majorGridlines/>
        <c:numFmt formatCode="0.0" sourceLinked="1"/>
        <c:majorTickMark val="out"/>
        <c:minorTickMark val="none"/>
        <c:tickLblPos val="none"/>
        <c:crossAx val="2289798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1.3864025061383468E-2"/>
          <c:y val="5.5636321727426545E-2"/>
          <c:w val="0.99113668608646799"/>
          <c:h val="0.8326195683872849"/>
        </c:manualLayout>
      </c:layout>
      <c:lineChart>
        <c:grouping val="standard"/>
        <c:varyColors val="0"/>
        <c:ser>
          <c:idx val="0"/>
          <c:order val="0"/>
          <c:dLbls>
            <c:dLbl>
              <c:idx val="6"/>
              <c:layout>
                <c:manualLayout>
                  <c:x val="-4.4630267228117824E-2"/>
                  <c:y val="5.76572541073227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4.7419658929875132E-2"/>
                  <c:y val="-7.68763388097635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2.7893917017573717E-2"/>
                  <c:y val="5.76572541073227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>
                    <a:solidFill>
                      <a:srgbClr val="FF0000"/>
                    </a:solidFill>
                  </a:defRPr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'dis giov'!$G$45:$O$45</c:f>
              <c:strCach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strCache>
            </c:strRef>
          </c:cat>
          <c:val>
            <c:numRef>
              <c:f>'dis giov'!$G$49:$O$49</c:f>
              <c:numCache>
                <c:formatCode>0.0</c:formatCode>
                <c:ptCount val="9"/>
                <c:pt idx="0">
                  <c:v>6.6943979999999934</c:v>
                </c:pt>
                <c:pt idx="1">
                  <c:v>11.266094000000002</c:v>
                </c:pt>
                <c:pt idx="2">
                  <c:v>13.975386000000015</c:v>
                </c:pt>
                <c:pt idx="3">
                  <c:v>10.724661999999999</c:v>
                </c:pt>
                <c:pt idx="4">
                  <c:v>18.842428999999989</c:v>
                </c:pt>
                <c:pt idx="5">
                  <c:v>27.813808000000041</c:v>
                </c:pt>
                <c:pt idx="6">
                  <c:v>16.073829</c:v>
                </c:pt>
                <c:pt idx="7">
                  <c:v>17.90228099999997</c:v>
                </c:pt>
                <c:pt idx="8">
                  <c:v>16.047651999999999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9005568"/>
        <c:axId val="229027840"/>
      </c:lineChart>
      <c:catAx>
        <c:axId val="2290055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9027840"/>
        <c:crosses val="autoZero"/>
        <c:auto val="1"/>
        <c:lblAlgn val="ctr"/>
        <c:lblOffset val="100"/>
        <c:noMultiLvlLbl val="0"/>
      </c:catAx>
      <c:valAx>
        <c:axId val="229027840"/>
        <c:scaling>
          <c:orientation val="minMax"/>
        </c:scaling>
        <c:delete val="1"/>
        <c:axPos val="l"/>
        <c:majorGridlines/>
        <c:numFmt formatCode="0.0" sourceLinked="1"/>
        <c:majorTickMark val="out"/>
        <c:minorTickMark val="none"/>
        <c:tickLblPos val="none"/>
        <c:crossAx val="2290055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1.2762071407740702E-2"/>
          <c:y val="5.5636197053766413E-2"/>
          <c:w val="1"/>
          <c:h val="0.8326195683872849"/>
        </c:manualLayout>
      </c:layout>
      <c:lineChart>
        <c:grouping val="standard"/>
        <c:varyColors val="0"/>
        <c:ser>
          <c:idx val="0"/>
          <c:order val="0"/>
          <c:dLbls>
            <c:dLbl>
              <c:idx val="2"/>
              <c:layout>
                <c:manualLayout>
                  <c:x val="-2.8069978973301841E-2"/>
                  <c:y val="-5.76572541073227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5.3021071394014567E-2"/>
                  <c:y val="-6.24620252829329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7.1734390709549303E-2"/>
                  <c:y val="-5.28524829317125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>
                    <a:solidFill>
                      <a:srgbClr val="FF0000"/>
                    </a:solidFill>
                  </a:defRPr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'dis giov'!$G$56:$O$56</c:f>
              <c:strCach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strCache>
            </c:strRef>
          </c:cat>
          <c:val>
            <c:numRef>
              <c:f>'dis giov'!$G$60:$O$60</c:f>
              <c:numCache>
                <c:formatCode>0.0</c:formatCode>
                <c:ptCount val="9"/>
                <c:pt idx="0">
                  <c:v>10.222643</c:v>
                </c:pt>
                <c:pt idx="1">
                  <c:v>14.37402</c:v>
                </c:pt>
                <c:pt idx="2">
                  <c:v>19.042779999999976</c:v>
                </c:pt>
                <c:pt idx="3">
                  <c:v>13.373778</c:v>
                </c:pt>
                <c:pt idx="4">
                  <c:v>20.282892999999977</c:v>
                </c:pt>
                <c:pt idx="5">
                  <c:v>39.180127000000006</c:v>
                </c:pt>
                <c:pt idx="6">
                  <c:v>27.647238000000005</c:v>
                </c:pt>
                <c:pt idx="7">
                  <c:v>30.006544999999981</c:v>
                </c:pt>
                <c:pt idx="8">
                  <c:v>42.798495000000045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9039488"/>
        <c:axId val="229192832"/>
      </c:lineChart>
      <c:catAx>
        <c:axId val="229039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9192832"/>
        <c:crosses val="autoZero"/>
        <c:auto val="1"/>
        <c:lblAlgn val="ctr"/>
        <c:lblOffset val="100"/>
        <c:noMultiLvlLbl val="0"/>
      </c:catAx>
      <c:valAx>
        <c:axId val="229192832"/>
        <c:scaling>
          <c:orientation val="minMax"/>
        </c:scaling>
        <c:delete val="1"/>
        <c:axPos val="l"/>
        <c:majorGridlines/>
        <c:numFmt formatCode="0.0" sourceLinked="1"/>
        <c:majorTickMark val="out"/>
        <c:minorTickMark val="none"/>
        <c:tickLblPos val="none"/>
        <c:crossAx val="2290394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Spinaci</dc:creator>
  <cp:lastModifiedBy>Utente</cp:lastModifiedBy>
  <cp:revision>3</cp:revision>
  <cp:lastPrinted>2017-03-22T13:07:00Z</cp:lastPrinted>
  <dcterms:created xsi:type="dcterms:W3CDTF">2017-03-23T08:21:00Z</dcterms:created>
  <dcterms:modified xsi:type="dcterms:W3CDTF">2017-03-23T08:27:00Z</dcterms:modified>
</cp:coreProperties>
</file>